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2280" w:right="2300" w:firstLine="69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ABE6"/>
          <w:sz w:val="28"/>
          <w:szCs w:val="28"/>
        </w:rPr>
        <w:t>Оқытуды</w:t>
      </w:r>
      <w:proofErr w:type="spellEnd"/>
      <w:r>
        <w:rPr>
          <w:rFonts w:ascii="Arial" w:hAnsi="Arial" w:cs="Arial"/>
          <w:b/>
          <w:bCs/>
          <w:color w:val="00ABE6"/>
          <w:sz w:val="28"/>
          <w:szCs w:val="28"/>
          <w:lang w:val="kk-KZ"/>
        </w:rPr>
        <w:t>ң</w:t>
      </w:r>
      <w:r>
        <w:rPr>
          <w:rFonts w:ascii="Arial" w:hAnsi="Arial" w:cs="Arial"/>
          <w:b/>
          <w:bCs/>
          <w:color w:val="00ABE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8"/>
          <w:szCs w:val="28"/>
        </w:rPr>
        <w:t>теориялық</w:t>
      </w:r>
      <w:proofErr w:type="spellEnd"/>
      <w:r>
        <w:rPr>
          <w:rFonts w:ascii="Arial" w:hAnsi="Arial" w:cs="Arial"/>
          <w:b/>
          <w:bCs/>
          <w:color w:val="00ABE6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8"/>
          <w:szCs w:val="28"/>
        </w:rPr>
        <w:t>негіздері</w:t>
      </w:r>
      <w:proofErr w:type="spell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Орта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жүйесінде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әлемдік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жоғары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жеткізген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анағұрлым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танымал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әдістемелері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арасында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сындарлы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оқыту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теориясына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тараған</w:t>
      </w:r>
      <w:proofErr w:type="spell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(Hattie, 2009).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Осы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Бірінші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бағдарламасының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басым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бөлігі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түрлі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қарастырылғанына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қарамастан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сындарлы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теориясы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негіздерін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қамтыған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Аталған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теория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ойлауын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бұрынғы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білімдері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жаңа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немесе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түрлі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дерек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көздерінен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мұғалімнен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оқулықтан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достарынан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білімдерімен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астастырыла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жүзеге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асады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тұжырымға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Сындарлы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теорияның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тиімділігін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жақтаушылардың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сым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бөлігі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дайын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тәсілдерімен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салыстыра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қарап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дай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тәсілдерінің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меңгеру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былай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тұрсын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олар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бойын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терең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түсінік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қалыптастырып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бастапқы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жаңа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байланыстыруға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мүмкіндік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тудыра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бермейтінін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тілге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етеді</w:t>
      </w:r>
      <w:proofErr w:type="spellEnd"/>
      <w:r>
        <w:rPr>
          <w:rFonts w:ascii="Arial" w:hAnsi="Arial" w:cs="Arial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61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Дайын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беруге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негізделген</w:t>
      </w:r>
      <w:proofErr w:type="spellEnd"/>
      <w:r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</w:rPr>
        <w:t>дәстүрлі</w:t>
      </w:r>
      <w:proofErr w:type="spellEnd"/>
      <w:r>
        <w:rPr>
          <w:rFonts w:ascii="Arial" w:hAnsi="Arial" w:cs="Arial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sz w:val="21"/>
          <w:szCs w:val="21"/>
        </w:rPr>
        <w:t>стиль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арқылы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алынған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оқушылардың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жинақтаған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өзге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білімдерімен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тиімді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сіңісе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алмайды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сондықтан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механикалық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есте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сақтау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үстірт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жағдайлары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орын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алады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Дәстүрлі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оқытудан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алынған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механикалық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түрде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есте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сақталған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мәліметтерді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емтихан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кездерінде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ұтымды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пайдалануға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болады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бірақ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мән-мағынасы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терең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меңгерілмей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жай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ғана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жатталғандықтан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тақырыпты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оқыту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аяқталған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соң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немесе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емти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хан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біткен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соң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керексіз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болып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қалады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және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оқушы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оны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өмірде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тиімді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пайдалана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алмайды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Сын</w:t>
      </w:r>
      <w:r>
        <w:rPr>
          <w:rFonts w:ascii="Times New Roman" w:hAnsi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дарлы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оқытудың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мақсаты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оқушының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пәнді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терең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түсіну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қабілетін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дамыту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алған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білімдерін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сыныптан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тыс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жерде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кез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келген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жағдайда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тиімді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пайдалана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білуін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қамтамасыз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ету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-22860</wp:posOffset>
            </wp:positionV>
            <wp:extent cx="638810" cy="31496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0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egoe UI" w:hAnsi="Segoe UI" w:cs="Segoe UI"/>
          <w:b/>
          <w:bCs/>
          <w:color w:val="FFFFFF"/>
          <w:sz w:val="26"/>
          <w:szCs w:val="26"/>
        </w:rPr>
        <w:t xml:space="preserve">10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сындарлы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түсінік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беруді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мақсат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тұтқан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мұғалімнің</w:t>
      </w:r>
      <w:proofErr w:type="spellEnd"/>
      <w:r>
        <w:rPr>
          <w:rFonts w:ascii="Segoe UI" w:hAnsi="Segoe UI" w:cs="Segoe UI"/>
          <w:b/>
          <w:bCs/>
          <w:color w:val="FFFFFF"/>
          <w:sz w:val="26"/>
          <w:szCs w:val="26"/>
        </w:rPr>
        <w:t xml:space="preserve"> </w:t>
      </w:r>
      <w:proofErr w:type="spellStart"/>
      <w:r>
        <w:rPr>
          <w:rFonts w:ascii="Arial" w:hAnsi="Arial" w:cs="Arial"/>
        </w:rPr>
        <w:t>өз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сабақтарын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идеясы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білім-біліктілігін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дамытуға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ықпал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ететін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міндеттерге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ұйымдастыруын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Бұндай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міндеттер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тақырып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бойын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білімдерін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көрсетіп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кейбір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болжамдар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бойынша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күмәнді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ойларын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білдіре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алатындай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пікір-көзқарастарын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нақтылап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жаңа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ұғым-түсініктерін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өрістете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алатындай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етіп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орайластырылып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құрылады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Мұғалім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қызметіндегі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маңызды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дүние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жекелеген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тақырыпты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қабылдау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ерекшеліктерін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түсінігін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жетілдіру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немесе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жақсарту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мақсатында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олармен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жұмыс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жүргізу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қажеттігін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ұғынуы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сондай-ақ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кейбір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тақырыпты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өзіне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оңтайлы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бірегей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меңгеретіндігін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түсінуі</w:t>
      </w:r>
      <w:proofErr w:type="spellEnd"/>
      <w:r>
        <w:rPr>
          <w:rFonts w:ascii="Arial" w:hAnsi="Arial" w:cs="Arial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-492125</wp:posOffset>
            </wp:positionV>
            <wp:extent cx="6850380" cy="446595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46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i/>
          <w:iCs/>
          <w:sz w:val="24"/>
          <w:szCs w:val="24"/>
        </w:rPr>
        <w:t>Сындарлы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оқытудың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жоғарыдағыдай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сипатталып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түсіндірілуі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мұғалімнің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ой-пайымы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мен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негізгі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көзқарастарын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сондай-ақ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сол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көзқарас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пікірге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қатысты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бірқатар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баламалы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шешімдерді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білуін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көздейді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Мұғалім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ұстанымы</w:t>
      </w:r>
      <w:proofErr w:type="spell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5" w:lineRule="auto"/>
        <w:ind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Психологтар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ұстаным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ұғымын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адамның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іс-әрекетке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бейімділігімен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байланыстырады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Социологтар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құндылық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есебінде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атап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көрсетеді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ұстанымы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көзқарастарын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қалыптастыру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барысына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ықпал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етеді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көзқарасы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белгілі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шешімдердің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қабылдануы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іс-әрекеттерді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түсіндіру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болып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табылады</w:t>
      </w:r>
      <w:proofErr w:type="spellEnd"/>
      <w:r>
        <w:rPr>
          <w:rFonts w:ascii="Arial" w:hAnsi="Arial" w:cs="Arial"/>
        </w:rPr>
        <w:t xml:space="preserve"> (4-сурет).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Сондықтан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келген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құралдары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болжамдарының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білімі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ұстанымының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көзқарастарының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жиынтығынан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тұруға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тиіс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Бұл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элементтердің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барлығын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жинақтасақ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тұлғаның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ерекше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b/>
          <w:bCs/>
        </w:rPr>
        <w:t>білім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беру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сызбалары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құралады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Пажарес</w:t>
      </w:r>
      <w:proofErr w:type="spellEnd"/>
      <w:r>
        <w:rPr>
          <w:rFonts w:ascii="Arial" w:hAnsi="Arial" w:cs="Arial"/>
        </w:rPr>
        <w:t xml:space="preserve"> (1992)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стилін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таңдау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кезінде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білімділігінен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гөрі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ұстанымға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негізделген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ой-тоқтамдарының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ықпалы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күштірек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сендіреді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үдерісінде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қалыптасқан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көзқарастар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іс-әрекеттеріне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әсер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етеді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іс-әрекеттеріне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әдістемелік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құралдар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оқулықтардан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гөрі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пәннің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қалай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оқытылуы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керектігі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жөнінде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әбден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қалыптасып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пікірлер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анағұрлым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күштірек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ықпал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етеді</w:t>
      </w:r>
      <w:proofErr w:type="spellEnd"/>
      <w:r>
        <w:rPr>
          <w:rFonts w:ascii="Arial" w:hAnsi="Arial" w:cs="Arial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FCC" w:rsidSect="00724FCC">
          <w:pgSz w:w="11906" w:h="16838"/>
          <w:pgMar w:top="567" w:right="567" w:bottom="567" w:left="567" w:header="720" w:footer="720" w:gutter="0"/>
          <w:cols w:space="720" w:equalWidth="0">
            <w:col w:w="10193"/>
          </w:cols>
          <w:noEndnote/>
          <w:docGrid w:linePitch="299"/>
        </w:sect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/>
          <w:sz w:val="24"/>
          <w:szCs w:val="24"/>
        </w:rPr>
      </w:pPr>
    </w:p>
    <w:tbl>
      <w:tblPr>
        <w:tblW w:w="12541" w:type="dxa"/>
        <w:tblLayout w:type="fixed"/>
        <w:tblLook w:val="0000"/>
      </w:tblPr>
      <w:tblGrid>
        <w:gridCol w:w="1000"/>
        <w:gridCol w:w="236"/>
        <w:gridCol w:w="960"/>
        <w:gridCol w:w="236"/>
        <w:gridCol w:w="86"/>
        <w:gridCol w:w="150"/>
        <w:gridCol w:w="236"/>
        <w:gridCol w:w="1980"/>
        <w:gridCol w:w="120"/>
        <w:gridCol w:w="3440"/>
        <w:gridCol w:w="120"/>
        <w:gridCol w:w="2520"/>
        <w:gridCol w:w="40"/>
        <w:gridCol w:w="236"/>
        <w:gridCol w:w="80"/>
        <w:gridCol w:w="236"/>
        <w:gridCol w:w="79"/>
        <w:gridCol w:w="79"/>
        <w:gridCol w:w="79"/>
        <w:gridCol w:w="628"/>
      </w:tblGrid>
      <w:tr w:rsidR="00724FCC" w:rsidRPr="00BE218B" w:rsidTr="00724FCC">
        <w:trPr>
          <w:trHeight w:val="18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bookmarkStart w:id="0" w:name="page13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EF3E33"/>
            </w:tcBorders>
            <w:shd w:val="clear" w:color="auto" w:fill="EF3E33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EF3E33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F3E33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917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single" w:sz="8" w:space="0" w:color="EF3E33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trHeight w:val="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C342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4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BE218B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</w:rPr>
              <w:t xml:space="preserve">1-кесте. </w:t>
            </w:r>
            <w:proofErr w:type="spellStart"/>
            <w:r w:rsidRPr="00BE218B">
              <w:rPr>
                <w:rFonts w:ascii="Arial" w:hAnsi="Arial" w:cs="Arial"/>
                <w:i/>
                <w:iCs/>
                <w:w w:val="90"/>
                <w:sz w:val="24"/>
                <w:szCs w:val="24"/>
              </w:rPr>
              <w:t>Шульман</w:t>
            </w:r>
            <w:proofErr w:type="spellEnd"/>
            <w:r w:rsidRPr="00BE218B">
              <w:rPr>
                <w:rFonts w:ascii="Arial" w:hAnsi="Arial" w:cs="Arial"/>
                <w:i/>
                <w:iCs/>
                <w:w w:val="90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i/>
                <w:iCs/>
                <w:w w:val="90"/>
                <w:sz w:val="24"/>
                <w:szCs w:val="24"/>
              </w:rPr>
              <w:t>ілімі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6"/>
          <w:wAfter w:w="1181" w:type="dxa"/>
          <w:trHeight w:val="25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5"/>
                <w:sz w:val="24"/>
                <w:szCs w:val="24"/>
              </w:rPr>
              <w:t>Мұғалімнің</w:t>
            </w:r>
            <w:proofErr w:type="spellEnd"/>
            <w:r w:rsidRPr="00BE218B">
              <w:rPr>
                <w:rFonts w:ascii="Arial" w:hAnsi="Arial" w:cs="Arial"/>
                <w:b/>
                <w:bCs/>
                <w:color w:val="FFFFFF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5"/>
                <w:sz w:val="24"/>
                <w:szCs w:val="24"/>
              </w:rPr>
              <w:t>көмекшілері</w:t>
            </w:r>
            <w:proofErr w:type="spellEnd"/>
          </w:p>
        </w:tc>
        <w:tc>
          <w:tcPr>
            <w:tcW w:w="6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>Құзырлы</w:t>
            </w:r>
            <w:proofErr w:type="spellEnd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>мұғалімге</w:t>
            </w:r>
            <w:proofErr w:type="spellEnd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>тән</w:t>
            </w:r>
            <w:proofErr w:type="spellEnd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w w:val="90"/>
                <w:sz w:val="24"/>
                <w:szCs w:val="24"/>
              </w:rPr>
              <w:t>белгілер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18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8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BE218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(</w:t>
            </w:r>
            <w:proofErr w:type="spellStart"/>
            <w:r w:rsidRPr="00BE218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Shulman</w:t>
            </w:r>
            <w:proofErr w:type="spellEnd"/>
            <w:r w:rsidRPr="00BE218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, 2007)</w:t>
            </w:r>
          </w:p>
        </w:tc>
        <w:tc>
          <w:tcPr>
            <w:tcW w:w="62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3"/>
          <w:wAfter w:w="786" w:type="dxa"/>
          <w:trHeight w:val="136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48" w:type="dxa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2"/>
                <w:sz w:val="24"/>
                <w:szCs w:val="24"/>
              </w:rPr>
              <w:t>Бас</w:t>
            </w:r>
            <w:proofErr w:type="spellEnd"/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</w:rPr>
              <w:t>Кәсіби</w:t>
            </w:r>
            <w:proofErr w:type="spellEnd"/>
            <w:r w:rsidRPr="00BE218B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</w:rPr>
              <w:t>түсінік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Оқыту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мен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оқу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сондай-ақ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жеке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тұлға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ретінде</w:t>
            </w:r>
            <w:proofErr w:type="spellEnd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8"/>
                <w:sz w:val="24"/>
                <w:szCs w:val="24"/>
              </w:rPr>
              <w:t>оқушылар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туралы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тұғырлы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теориялық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базаға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негізделген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жеткілікті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білімнің</w:t>
            </w:r>
            <w:proofErr w:type="spellEnd"/>
            <w:proofErr w:type="gram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болуын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талап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етеді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.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Сондай-ақ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тәжірибені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түсіну</w:t>
            </w:r>
            <w:proofErr w:type="spellEnd"/>
            <w:r w:rsidRPr="00BE218B">
              <w:rPr>
                <w:rFonts w:ascii="Arial" w:hAnsi="Arial" w:cs="Arial"/>
                <w:w w:val="95"/>
                <w:sz w:val="24"/>
                <w:szCs w:val="24"/>
              </w:rPr>
              <w:t>,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дамыту</w:t>
            </w:r>
            <w:proofErr w:type="spellEnd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/</w:t>
            </w: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жетілдіру</w:t>
            </w:r>
            <w:proofErr w:type="spellEnd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үшін</w:t>
            </w:r>
            <w:proofErr w:type="spellEnd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дәлелдер</w:t>
            </w:r>
            <w:proofErr w:type="spellEnd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/</w:t>
            </w: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зерттеулер</w:t>
            </w:r>
            <w:proofErr w:type="spellEnd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4"/>
                <w:sz w:val="24"/>
                <w:szCs w:val="24"/>
              </w:rPr>
              <w:t>нәтижелерін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3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sz w:val="24"/>
                <w:szCs w:val="24"/>
              </w:rPr>
              <w:t>қалай</w:t>
            </w:r>
            <w:proofErr w:type="spellEnd"/>
            <w:proofErr w:type="gram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қолдану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керектігін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білуді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көздейді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90"/>
                <w:sz w:val="24"/>
                <w:szCs w:val="24"/>
              </w:rPr>
              <w:t>Қол</w:t>
            </w:r>
            <w:proofErr w:type="spellEnd"/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Оқытудың</w:t>
            </w:r>
            <w:proofErr w:type="spellEnd"/>
            <w:r w:rsidRPr="00BE218B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тәжірибелік</w:t>
            </w:r>
            <w:proofErr w:type="spellEnd"/>
            <w:r w:rsidRPr="00BE218B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6"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Бұл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ілім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көрсету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таныстыру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түзету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және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оқытуды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сияқты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әртүрлі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тәсілдер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арқылы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идеяларды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түсіндіре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білудің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техникалық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тәжірибелік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дағдылары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мен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тәсілдерін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білуді</w:t>
            </w:r>
            <w:proofErr w:type="spellEnd"/>
            <w:proofErr w:type="gram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талап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етеді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.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Сонымен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қатар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ынталандыру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көтермелеу</w:t>
            </w:r>
            <w:proofErr w:type="spellEnd"/>
            <w:r w:rsidRPr="00BE218B">
              <w:rPr>
                <w:rFonts w:ascii="Arial" w:hAnsi="Arial" w:cs="Arial"/>
                <w:w w:val="88"/>
                <w:sz w:val="24"/>
                <w:szCs w:val="24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шектеу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сабақтар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кезеңдерін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жоспарлау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және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оқушыларды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sz w:val="24"/>
                <w:szCs w:val="24"/>
              </w:rPr>
              <w:t>бағалау</w:t>
            </w:r>
            <w:proofErr w:type="spellEnd"/>
            <w:proofErr w:type="gram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әдістемелерін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меңгеру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қажет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Жоғарыда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аталған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дағдылар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болған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жағдайда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мұғалім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сабақ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үстінде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оқушылардың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оқуға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ынтасы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артып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жоғары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және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тиісті</w:t>
            </w:r>
            <w:proofErr w:type="spellEnd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деңгейлерге</w:t>
            </w:r>
            <w:proofErr w:type="spellEnd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қол</w:t>
            </w:r>
            <w:proofErr w:type="spellEnd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жеткізуге</w:t>
            </w:r>
            <w:proofErr w:type="spellEnd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ұмтылатындай</w:t>
            </w:r>
            <w:proofErr w:type="spellEnd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7"/>
                <w:sz w:val="24"/>
                <w:szCs w:val="24"/>
              </w:rPr>
              <w:t>қолайлы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орта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қалыптастырып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оның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тұрақтылығын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қамтамасыз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3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sz w:val="24"/>
                <w:szCs w:val="24"/>
              </w:rPr>
              <w:t>етері</w:t>
            </w:r>
            <w:proofErr w:type="spellEnd"/>
            <w:proofErr w:type="gram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анық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12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9"/>
                <w:sz w:val="24"/>
                <w:szCs w:val="24"/>
              </w:rPr>
              <w:t>Жүрек</w:t>
            </w:r>
            <w:proofErr w:type="spellEnd"/>
          </w:p>
        </w:tc>
        <w:tc>
          <w:tcPr>
            <w:tcW w:w="6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7"/>
                <w:sz w:val="24"/>
                <w:szCs w:val="24"/>
              </w:rPr>
              <w:t>Кәсіби-адамгершілік</w:t>
            </w:r>
            <w:proofErr w:type="spellEnd"/>
            <w:r w:rsidRPr="00BE218B">
              <w:rPr>
                <w:rFonts w:ascii="Arial" w:hAnsi="Arial" w:cs="Arial"/>
                <w:b/>
                <w:bCs/>
                <w:i/>
                <w:iCs/>
                <w:w w:val="87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b/>
                <w:bCs/>
                <w:i/>
                <w:iCs/>
                <w:w w:val="87"/>
                <w:sz w:val="24"/>
                <w:szCs w:val="24"/>
              </w:rPr>
              <w:t>тұтастық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191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ABE6"/>
              <w:right w:val="nil"/>
            </w:tcBorders>
            <w:shd w:val="clear" w:color="auto" w:fill="00ABE6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18B">
              <w:rPr>
                <w:rFonts w:ascii="Segoe UI" w:hAnsi="Segoe UI" w:cs="Segoe UI"/>
                <w:b/>
                <w:bCs/>
                <w:color w:val="FFFFFF"/>
                <w:sz w:val="28"/>
                <w:szCs w:val="28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72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196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ABE6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Мұғалімдер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ұстаз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мамандығының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этикалық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және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69"/>
        </w:trPr>
        <w:tc>
          <w:tcPr>
            <w:tcW w:w="1000" w:type="dxa"/>
            <w:tcBorders>
              <w:top w:val="nil"/>
              <w:left w:val="nil"/>
              <w:bottom w:val="single" w:sz="8" w:space="0" w:color="00ABE6"/>
              <w:right w:val="nil"/>
            </w:tcBorders>
            <w:shd w:val="clear" w:color="auto" w:fill="00ABE6"/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72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моральдық</w:t>
            </w:r>
            <w:proofErr w:type="spellEnd"/>
            <w:proofErr w:type="gram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құндылықтарын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ұстанады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.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Демек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олар</w:t>
            </w:r>
            <w:proofErr w:type="spellEnd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6"/>
                <w:sz w:val="24"/>
                <w:szCs w:val="24"/>
              </w:rPr>
              <w:t>шын</w:t>
            </w:r>
            <w:proofErr w:type="spellEnd"/>
            <w:r w:rsidRPr="00BE218B">
              <w:rPr>
                <w:rFonts w:ascii="Times New Roman" w:hAnsi="Times New Roman"/>
                <w:w w:val="96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шыл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батыл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төзімді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оқушыларға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аяушылық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мейірім</w:t>
            </w:r>
            <w:proofErr w:type="spellEnd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3"/>
                <w:sz w:val="24"/>
                <w:szCs w:val="24"/>
              </w:rPr>
              <w:t>және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sz w:val="24"/>
                <w:szCs w:val="24"/>
              </w:rPr>
              <w:t>құрмет</w:t>
            </w:r>
            <w:proofErr w:type="spellEnd"/>
            <w:proofErr w:type="gram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көрсете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білетін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әділ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адамдар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Мұғалімдер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өз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мамандығын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сүйетін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оқуға</w:t>
            </w:r>
            <w:proofErr w:type="spellEnd"/>
            <w:r w:rsidRPr="00BE21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sz w:val="24"/>
                <w:szCs w:val="24"/>
              </w:rPr>
              <w:t>қатысты</w:t>
            </w:r>
            <w:proofErr w:type="spellEnd"/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blPrEx>
          <w:tblCellMar>
            <w:left w:w="0" w:type="dxa"/>
            <w:right w:w="0" w:type="dxa"/>
          </w:tblCellMar>
        </w:tblPrEx>
        <w:trPr>
          <w:gridAfter w:val="6"/>
          <w:wAfter w:w="1181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тұжырымды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пікірлері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мен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ұстанымдары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қалыптасқан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жандар</w:t>
            </w:r>
            <w:proofErr w:type="spellEnd"/>
            <w:r w:rsidRPr="00BE218B">
              <w:rPr>
                <w:rFonts w:ascii="Arial" w:hAnsi="Arial" w:cs="Arial"/>
                <w:w w:val="89"/>
                <w:sz w:val="24"/>
                <w:szCs w:val="24"/>
              </w:rPr>
              <w:t>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24FCC" w:rsidRPr="00BE218B" w:rsidTr="00724FCC">
        <w:trPr>
          <w:gridAfter w:val="1"/>
          <w:wAfter w:w="628" w:type="dxa"/>
          <w:trHeight w:val="3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олардың</w:t>
            </w:r>
            <w:proofErr w:type="spellEnd"/>
            <w:proofErr w:type="gram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бұл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бағыттағы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ойлары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бір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жерден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шығап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 xml:space="preserve"> </w:t>
            </w:r>
            <w:proofErr w:type="spellStart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жатады</w:t>
            </w:r>
            <w:proofErr w:type="spellEnd"/>
            <w:r w:rsidRPr="00BE218B">
              <w:rPr>
                <w:rFonts w:ascii="Arial" w:hAnsi="Arial" w:cs="Arial"/>
                <w:w w:val="92"/>
                <w:sz w:val="24"/>
                <w:szCs w:val="24"/>
              </w:rPr>
              <w:t>.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4FCC" w:rsidRPr="00BE218B" w:rsidRDefault="00724FCC" w:rsidP="00E0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24FCC" w:rsidRDefault="00724FCC" w:rsidP="00724FC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-5021580</wp:posOffset>
            </wp:positionV>
            <wp:extent cx="6850380" cy="917702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17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140" w:right="2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Сапалы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мүмкіндік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беретін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жағдайларды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жасаумен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қатар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жағдайлардың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өзімен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тығыз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байланыста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Құзырлы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оқушыларға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ортаға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ресурстарға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лайықтап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кезеңде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қолданылуы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тиімді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элементтерін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реттеп</w:t>
      </w:r>
      <w:proofErr w:type="spellEnd"/>
      <w:r>
        <w:rPr>
          <w:rFonts w:ascii="Arial" w:hAnsi="Arial" w:cs="Arial"/>
        </w:rPr>
        <w:t xml:space="preserve">» </w:t>
      </w:r>
      <w:proofErr w:type="spellStart"/>
      <w:r>
        <w:rPr>
          <w:rFonts w:ascii="Arial" w:hAnsi="Arial" w:cs="Arial"/>
        </w:rPr>
        <w:t>оты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рады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Шындығында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оқытудың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сапалы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табысты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болуы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белгілі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мұғалімнің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қалыптасып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отырған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жағдайларға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бейімделе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алуына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тығыз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байланысты</w:t>
      </w:r>
      <w:proofErr w:type="spellEnd"/>
      <w:r>
        <w:rPr>
          <w:rFonts w:ascii="Arial" w:hAnsi="Arial" w:cs="Arial"/>
        </w:rPr>
        <w:t>.</w:t>
      </w:r>
      <w:proofErr w:type="gramEnd"/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40" w:right="2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3"/>
          <w:szCs w:val="23"/>
        </w:rPr>
        <w:t>Сапалы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оқыту</w:t>
      </w:r>
      <w:proofErr w:type="spellEnd"/>
      <w:r>
        <w:rPr>
          <w:rFonts w:ascii="Arial" w:hAnsi="Arial" w:cs="Arial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sz w:val="23"/>
          <w:szCs w:val="23"/>
        </w:rPr>
        <w:t>мұғалім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бейнесімен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танылатын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сан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алуан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элементтер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арасындағы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байла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>ныс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болып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табылады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ол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өзі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белгілі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бір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деңгейде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тәуелді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жағдайлар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жасалынған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кезде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жүзеге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асырылады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Сапалы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оқыту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оқушылардың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қоршаған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орта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жағдайы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және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оқыту</w:t>
      </w:r>
      <w:proofErr w:type="spellEnd"/>
      <w:r>
        <w:rPr>
          <w:rFonts w:ascii="Arial" w:hAnsi="Arial" w:cs="Arial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sz w:val="23"/>
          <w:szCs w:val="23"/>
        </w:rPr>
        <w:t>білім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алу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мүмкіндіктерінің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бірлігі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ретінде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қарастырылады</w:t>
      </w:r>
      <w:proofErr w:type="spellEnd"/>
      <w:r>
        <w:rPr>
          <w:rFonts w:ascii="Arial" w:hAnsi="Arial" w:cs="Arial"/>
          <w:sz w:val="23"/>
          <w:szCs w:val="23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Сапалы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және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табысты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оқыту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жайында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қорытынды</w:t>
      </w:r>
      <w:proofErr w:type="spellEnd"/>
      <w:r>
        <w:rPr>
          <w:rFonts w:ascii="Arial" w:hAnsi="Arial" w:cs="Arial"/>
          <w:b/>
          <w:bCs/>
          <w:color w:val="00ABE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ABE6"/>
          <w:sz w:val="24"/>
          <w:szCs w:val="24"/>
        </w:rPr>
        <w:t>қалыптастыру</w:t>
      </w:r>
      <w:proofErr w:type="spell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29" w:lineRule="auto"/>
        <w:ind w:left="154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Оқытудың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сапасын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екі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тәсіл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арқылы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анықтауға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болады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14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bCs/>
          <w:sz w:val="21"/>
          <w:szCs w:val="21"/>
        </w:rPr>
        <w:t>Біріншісі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бағалау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қызметінің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нәтижесіне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болмай</w:t>
      </w:r>
      <w:proofErr w:type="spellEnd"/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мұғалім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іс-әрекетінің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тәжірибе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талаптарына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сәйкестігін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яғни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мұғалім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жұмысының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тиімділігін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оқушылармен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өзара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байланысының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сипаты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жиілігін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анықтау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мақсатында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жүргізіледі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Бұл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жағдайда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баға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мұғалім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жұмыс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істейтін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оқушыларға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байланысты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қарастырылады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оқыту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үдерісіне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тәуелді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болмайды</w:t>
      </w:r>
      <w:proofErr w:type="spellEnd"/>
      <w:r>
        <w:rPr>
          <w:rFonts w:ascii="Arial" w:hAnsi="Arial" w:cs="Arial"/>
          <w:sz w:val="21"/>
          <w:szCs w:val="21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140" w:right="20" w:firstLine="39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сапасын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бағалаудағы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екінші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ғана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кәсіби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міндеттерді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жауапкершілікпен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орындағаннан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гөрі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көбірек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күш</w:t>
      </w:r>
      <w:r>
        <w:rPr>
          <w:rFonts w:ascii="Times New Roman" w:hAnsi="Times New Roman"/>
          <w:i/>
          <w:iCs/>
        </w:rPr>
        <w:t>-</w:t>
      </w:r>
      <w:r>
        <w:rPr>
          <w:rFonts w:ascii="Arial" w:hAnsi="Arial" w:cs="Arial"/>
        </w:rPr>
        <w:t>жігерді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ететін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сапалы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әрі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табысты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ерек</w:t>
      </w:r>
      <w:proofErr w:type="spellEnd"/>
      <w:r>
        <w:rPr>
          <w:rFonts w:ascii="Times New Roman" w:hAnsi="Times New Roman"/>
        </w:rPr>
        <w:t>-</w:t>
      </w: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24FCC">
          <w:pgSz w:w="11906" w:h="16838"/>
          <w:pgMar w:top="703" w:right="1100" w:bottom="570" w:left="0" w:header="720" w:footer="720" w:gutter="0"/>
          <w:cols w:space="720" w:equalWidth="0">
            <w:col w:w="10800"/>
          </w:cols>
          <w:noEndnote/>
        </w:sect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5"/>
      <w:bookmarkEnd w:id="1"/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31965" cy="1208405"/>
            <wp:effectExtent l="19050" t="0" r="698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ABE6"/>
          <w:sz w:val="32"/>
          <w:szCs w:val="32"/>
        </w:rPr>
        <w:t>БІРІНШІ ДЕҢГЕЙ БАҒДАРЛАМАСЫНЫҢ ҚҰРЫЛЫМЫ</w:t>
      </w: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62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Деңгейлі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бағдарлама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мұғалімдерді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тәжірибесін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өзгерту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үшін</w:t>
      </w:r>
      <w:proofErr w:type="spellEnd"/>
      <w:r>
        <w:rPr>
          <w:rFonts w:ascii="Arial" w:hAnsi="Arial" w:cs="Arial"/>
        </w:rPr>
        <w:t xml:space="preserve"> НЕ </w:t>
      </w:r>
      <w:proofErr w:type="spellStart"/>
      <w:r>
        <w:rPr>
          <w:rFonts w:ascii="Arial" w:hAnsi="Arial" w:cs="Arial"/>
        </w:rPr>
        <w:t>істеу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қажет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нымен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өзгерістерді</w:t>
      </w:r>
      <w:proofErr w:type="spellEnd"/>
      <w:r>
        <w:rPr>
          <w:rFonts w:ascii="Arial" w:hAnsi="Arial" w:cs="Arial"/>
        </w:rPr>
        <w:t xml:space="preserve"> ҚАЛАЙ </w:t>
      </w:r>
      <w:proofErr w:type="spellStart"/>
      <w:r>
        <w:rPr>
          <w:rFonts w:ascii="Arial" w:hAnsi="Arial" w:cs="Arial"/>
        </w:rPr>
        <w:t>енгізу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керектігі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идеялармен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таныстырады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көзделеді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Үшінші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бағдарламасы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сыныптарда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көшбасшылықты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негізделіп</w:t>
      </w:r>
      <w:proofErr w:type="spellEnd"/>
      <w:r>
        <w:rPr>
          <w:rFonts w:ascii="Arial" w:hAnsi="Arial" w:cs="Arial"/>
        </w:rPr>
        <w:t xml:space="preserve">, 5-суреттегі </w:t>
      </w:r>
      <w:proofErr w:type="spellStart"/>
      <w:r>
        <w:rPr>
          <w:rFonts w:ascii="Arial" w:hAnsi="Arial" w:cs="Arial"/>
        </w:rPr>
        <w:t>орталық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шеңберлердегі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қызыл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түспен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жазылған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идеяларды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қамтиды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Яғни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Үшінші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деңгей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бағдарламасы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ерекшеліктерін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дарынды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талантты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балалар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жұмыс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істеу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ерекшеліктерін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қоса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алғанда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қалай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керектігі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туралы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білуді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көздейді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ойлау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қысқа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мерзімді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мерзімді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жоспарлау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үдерісінде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біріктіріледі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Аталған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үдеріс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жақсартудың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оқушылардың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топтардағы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бірлескен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жұмысы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диалогтік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өзара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және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оқуда</w:t>
      </w:r>
      <w:proofErr w:type="spellEnd"/>
      <w:r>
        <w:rPr>
          <w:rFonts w:ascii="Arial" w:hAnsi="Arial" w:cs="Arial"/>
        </w:rPr>
        <w:t xml:space="preserve"> АКТ-</w:t>
      </w:r>
      <w:proofErr w:type="spellStart"/>
      <w:r>
        <w:rPr>
          <w:rFonts w:ascii="Arial" w:hAnsi="Arial" w:cs="Arial"/>
        </w:rPr>
        <w:t>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қолдану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сияқты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тәсілдері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арқылы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жүзеге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асырылады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Бұған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қол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жеткізу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үшін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мұғалімдер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егжей-тегжейлі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стратегиялық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жоспар</w:t>
      </w:r>
      <w:r>
        <w:rPr>
          <w:rFonts w:ascii="Times New Roman" w:hAnsi="Times New Roman"/>
        </w:rPr>
        <w:t>-</w:t>
      </w:r>
      <w:r>
        <w:rPr>
          <w:rFonts w:ascii="Arial" w:hAnsi="Arial" w:cs="Arial"/>
        </w:rPr>
        <w:t>лау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жүргізеді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Осы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орайда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мұғалім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диалогтік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қалыптастырушы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яғни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оқыту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үшін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сондай-ақ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жиынтық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яғни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оқуды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бағалауды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пайдаланады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Мұғалімдер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сыныптағы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жұмыстарын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бетінше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жоспарлап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әрқашан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сабақтары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мерзімді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жоспарларының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сапасын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жақсартуға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ұмтылады</w:t>
      </w:r>
      <w:proofErr w:type="spellEnd"/>
      <w:r>
        <w:rPr>
          <w:rFonts w:ascii="Arial" w:hAnsi="Arial" w:cs="Arial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62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1"/>
          <w:szCs w:val="21"/>
        </w:rPr>
        <w:t>Екінші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деңгейде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мектепте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оқытудағы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көшбасшылықты</w:t>
      </w:r>
      <w:proofErr w:type="spellEnd"/>
      <w:r>
        <w:rPr>
          <w:rFonts w:ascii="Arial" w:hAnsi="Arial" w:cs="Arial"/>
          <w:sz w:val="21"/>
          <w:szCs w:val="21"/>
        </w:rPr>
        <w:t xml:space="preserve"> ҚАЛАЙ </w:t>
      </w:r>
      <w:proofErr w:type="spellStart"/>
      <w:r>
        <w:rPr>
          <w:rFonts w:ascii="Arial" w:hAnsi="Arial" w:cs="Arial"/>
          <w:sz w:val="21"/>
          <w:szCs w:val="21"/>
        </w:rPr>
        <w:t>жақсартып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коучинг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пен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тәлімгерлік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сияқты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тиімді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әдістерді</w:t>
      </w:r>
      <w:proofErr w:type="spellEnd"/>
      <w:r>
        <w:rPr>
          <w:rFonts w:ascii="Arial" w:hAnsi="Arial" w:cs="Arial"/>
          <w:sz w:val="21"/>
          <w:szCs w:val="21"/>
        </w:rPr>
        <w:t xml:space="preserve"> ҚАЛАЙ </w:t>
      </w:r>
      <w:proofErr w:type="spellStart"/>
      <w:r>
        <w:rPr>
          <w:rFonts w:ascii="Arial" w:hAnsi="Arial" w:cs="Arial"/>
          <w:sz w:val="21"/>
          <w:szCs w:val="21"/>
        </w:rPr>
        <w:t>пайдалануға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болатынына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сонымен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қатар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сыныпта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іс-әрекеттегі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зерттеу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жүргізуге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назар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аударылады</w:t>
      </w:r>
      <w:proofErr w:type="spellEnd"/>
      <w:r>
        <w:rPr>
          <w:rFonts w:ascii="Arial" w:hAnsi="Arial" w:cs="Arial"/>
          <w:sz w:val="21"/>
          <w:szCs w:val="21"/>
        </w:rPr>
        <w:t xml:space="preserve"> (5-суреттегі </w:t>
      </w:r>
      <w:proofErr w:type="spellStart"/>
      <w:r>
        <w:rPr>
          <w:rFonts w:ascii="Arial" w:hAnsi="Arial" w:cs="Arial"/>
          <w:sz w:val="21"/>
          <w:szCs w:val="21"/>
        </w:rPr>
        <w:t>жасыл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түспен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жазылған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мәтін</w:t>
      </w:r>
      <w:proofErr w:type="spellEnd"/>
      <w:r>
        <w:rPr>
          <w:rFonts w:ascii="Arial" w:hAnsi="Arial" w:cs="Arial"/>
          <w:sz w:val="21"/>
          <w:szCs w:val="21"/>
        </w:rPr>
        <w:t>).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20" w:firstLine="39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Бірінші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деңгей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бағдарламасында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мектеп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базасында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кеңейтілген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зерттеу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жүргізу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арқылы</w:t>
      </w:r>
      <w:proofErr w:type="spellEnd"/>
      <w:r>
        <w:rPr>
          <w:rFonts w:ascii="Arial" w:hAnsi="Arial" w:cs="Arial"/>
          <w:sz w:val="24"/>
          <w:szCs w:val="24"/>
        </w:rPr>
        <w:t xml:space="preserve"> НЕ, ҚАЛАЙ </w:t>
      </w:r>
      <w:proofErr w:type="spellStart"/>
      <w:r>
        <w:rPr>
          <w:rFonts w:ascii="Arial" w:hAnsi="Arial" w:cs="Arial"/>
          <w:sz w:val="24"/>
          <w:szCs w:val="24"/>
        </w:rPr>
        <w:t>және</w:t>
      </w:r>
      <w:proofErr w:type="spellEnd"/>
      <w:r>
        <w:rPr>
          <w:rFonts w:ascii="Arial" w:hAnsi="Arial" w:cs="Arial"/>
          <w:sz w:val="24"/>
          <w:szCs w:val="24"/>
        </w:rPr>
        <w:t xml:space="preserve"> НЕГЕ </w:t>
      </w:r>
      <w:proofErr w:type="spellStart"/>
      <w:r>
        <w:rPr>
          <w:rFonts w:ascii="Arial" w:hAnsi="Arial" w:cs="Arial"/>
          <w:sz w:val="24"/>
          <w:szCs w:val="24"/>
        </w:rPr>
        <w:t>тәсілдері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әрі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пысықталатын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болады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сондай-ақ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Бағдарламаның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мазмұны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мектепті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дамытуды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жоспарлау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желілік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қоғамдастық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аясында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ынтымақтастық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мәселелеріне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бағытталады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-329565</wp:posOffset>
            </wp:positionH>
            <wp:positionV relativeFrom="paragraph">
              <wp:posOffset>-22860</wp:posOffset>
            </wp:positionV>
            <wp:extent cx="638810" cy="314960"/>
            <wp:effectExtent l="19050" t="0" r="889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color w:val="FFFFFF"/>
          <w:sz w:val="28"/>
          <w:szCs w:val="28"/>
        </w:rPr>
        <w:t>14</w:t>
      </w: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379730</wp:posOffset>
            </wp:positionH>
            <wp:positionV relativeFrom="paragraph">
              <wp:posOffset>-69850</wp:posOffset>
            </wp:positionV>
            <wp:extent cx="6850380" cy="5315585"/>
            <wp:effectExtent l="19050" t="0" r="762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31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724FCC" w:rsidRDefault="00724FCC" w:rsidP="00724FCC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5-сурет.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Бағдарламаның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үш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деңгейінің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құрылымы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мен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прогресі</w:t>
      </w:r>
      <w:proofErr w:type="spellEnd"/>
    </w:p>
    <w:p w:rsidR="00673FD6" w:rsidRDefault="00673FD6"/>
    <w:sectPr w:rsidR="00673FD6" w:rsidSect="00724FC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FCC"/>
    <w:rsid w:val="00673FD6"/>
    <w:rsid w:val="0072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C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2019-12-03T06:04:00Z</dcterms:created>
  <dcterms:modified xsi:type="dcterms:W3CDTF">2019-12-03T06:06:00Z</dcterms:modified>
</cp:coreProperties>
</file>